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BE3A43">
        <w:rPr>
          <w:rFonts w:ascii="PT Astra Serif" w:hAnsi="PT Astra Serif"/>
          <w:b/>
          <w:sz w:val="32"/>
          <w:szCs w:val="32"/>
        </w:rPr>
        <w:t>Об утверждении Порядка согласования кандидатур для назначения на должность руководителя образовательных организаций муниципального образования «</w:t>
      </w:r>
      <w:proofErr w:type="spellStart"/>
      <w:r w:rsidR="00BE3A43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BE3A43">
        <w:rPr>
          <w:rFonts w:ascii="PT Astra Serif" w:hAnsi="PT Astra Serif"/>
          <w:b/>
          <w:sz w:val="32"/>
          <w:szCs w:val="32"/>
        </w:rPr>
        <w:t xml:space="preserve"> район» Ульяновской области</w:t>
      </w:r>
      <w:r w:rsidR="005B6FFD">
        <w:rPr>
          <w:rFonts w:ascii="PT Astra Serif" w:hAnsi="PT Astra Serif"/>
          <w:b/>
          <w:sz w:val="32"/>
          <w:szCs w:val="32"/>
        </w:rPr>
        <w:t>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5B6FFD" w:rsidP="0070055F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 w:rsidR="008816F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6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8816F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BE3A43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BE3A43" w:rsidRPr="00BE3A43">
        <w:rPr>
          <w:rFonts w:ascii="PT Astra Serif" w:hAnsi="PT Astra Serif"/>
          <w:szCs w:val="28"/>
        </w:rPr>
        <w:t>Об утверждении Порядка согласования кандидатур для назначения на должность руководителя образовательных организаций муниципального образования «</w:t>
      </w:r>
      <w:proofErr w:type="spellStart"/>
      <w:r w:rsidR="00BE3A43" w:rsidRPr="00BE3A43">
        <w:rPr>
          <w:rFonts w:ascii="PT Astra Serif" w:hAnsi="PT Astra Serif"/>
          <w:szCs w:val="28"/>
        </w:rPr>
        <w:t>Карсунский</w:t>
      </w:r>
      <w:proofErr w:type="spellEnd"/>
      <w:r w:rsidR="00BE3A43" w:rsidRPr="00BE3A43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Проект постановления разработан Мельниковой Т.В. юристом муниципального бюджетного учреждения «Центр развития образования и бухгалтерского учета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тел. 8(84-246)2-36-01.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2. Описание проекта</w:t>
      </w:r>
    </w:p>
    <w:p w:rsidR="00173145" w:rsidRDefault="002F7D28" w:rsidP="00BE3A43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EE3AA1">
        <w:rPr>
          <w:rFonts w:ascii="PT Astra Serif" w:hAnsi="PT Astra Serif"/>
          <w:szCs w:val="28"/>
        </w:rPr>
        <w:t xml:space="preserve">Представленный проект постановления разработан </w:t>
      </w:r>
      <w:bookmarkStart w:id="0" w:name="_GoBack"/>
      <w:bookmarkEnd w:id="0"/>
      <w:r w:rsidR="00BE3A43" w:rsidRPr="00BE3A43">
        <w:rPr>
          <w:rFonts w:ascii="PT Astra Serif" w:hAnsi="PT Astra Serif"/>
          <w:szCs w:val="28"/>
        </w:rPr>
        <w:t>в целях осуществления независимого и объективного отбора кандидатов на должность руководителя образовательных организаций муниципального образования «</w:t>
      </w:r>
      <w:proofErr w:type="spellStart"/>
      <w:r w:rsidR="00BE3A43" w:rsidRPr="00BE3A43">
        <w:rPr>
          <w:rFonts w:ascii="PT Astra Serif" w:hAnsi="PT Astra Serif"/>
          <w:szCs w:val="28"/>
        </w:rPr>
        <w:t>Карсунский</w:t>
      </w:r>
      <w:proofErr w:type="spellEnd"/>
      <w:r w:rsidR="00BE3A43">
        <w:rPr>
          <w:rFonts w:ascii="PT Astra Serif" w:hAnsi="PT Astra Serif"/>
          <w:szCs w:val="28"/>
        </w:rPr>
        <w:t xml:space="preserve"> </w:t>
      </w:r>
      <w:r w:rsidR="00BE3A43" w:rsidRPr="00BE3A43">
        <w:rPr>
          <w:rFonts w:ascii="PT Astra Serif" w:hAnsi="PT Astra Serif"/>
          <w:szCs w:val="28"/>
        </w:rPr>
        <w:t>район» Ульяновской области, оценки эффективности деятельности кандидатов</w:t>
      </w:r>
      <w:r w:rsidR="00BE3A43">
        <w:rPr>
          <w:rFonts w:ascii="PT Astra Serif" w:hAnsi="PT Astra Serif"/>
          <w:szCs w:val="28"/>
        </w:rPr>
        <w:t xml:space="preserve"> </w:t>
      </w:r>
      <w:r w:rsidR="00BE3A43" w:rsidRPr="00BE3A43">
        <w:rPr>
          <w:rFonts w:ascii="PT Astra Serif" w:hAnsi="PT Astra Serif"/>
          <w:szCs w:val="28"/>
        </w:rPr>
        <w:t>на должность руководителя, определения уровня их знаний, навыков и умений,</w:t>
      </w:r>
      <w:r w:rsidR="00BE3A43">
        <w:rPr>
          <w:rFonts w:ascii="PT Astra Serif" w:hAnsi="PT Astra Serif"/>
          <w:szCs w:val="28"/>
        </w:rPr>
        <w:t xml:space="preserve"> </w:t>
      </w:r>
      <w:r w:rsidR="00BE3A43" w:rsidRPr="00BE3A43">
        <w:rPr>
          <w:rFonts w:ascii="PT Astra Serif" w:hAnsi="PT Astra Serif"/>
          <w:szCs w:val="28"/>
        </w:rPr>
        <w:t>которые необходимы при замещении должности руководителя образовательных организаций муниципального образования «</w:t>
      </w:r>
      <w:proofErr w:type="spellStart"/>
      <w:r w:rsidR="00BE3A43" w:rsidRPr="00BE3A43">
        <w:rPr>
          <w:rFonts w:ascii="PT Astra Serif" w:hAnsi="PT Astra Serif"/>
          <w:szCs w:val="28"/>
        </w:rPr>
        <w:t>Карсунский</w:t>
      </w:r>
      <w:proofErr w:type="spellEnd"/>
      <w:r w:rsidR="00BE3A43" w:rsidRPr="00BE3A43">
        <w:rPr>
          <w:rFonts w:ascii="PT Astra Serif" w:hAnsi="PT Astra Serif"/>
          <w:szCs w:val="28"/>
        </w:rPr>
        <w:t xml:space="preserve"> район» Ульяновской области</w:t>
      </w:r>
      <w:r w:rsidR="00173145">
        <w:rPr>
          <w:rFonts w:ascii="PT Astra Serif" w:hAnsi="PT Astra Serif"/>
          <w:szCs w:val="28"/>
        </w:rPr>
        <w:t>.</w:t>
      </w:r>
      <w:proofErr w:type="gramEnd"/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BE3A43" w:rsidRPr="00BE3A43">
        <w:rPr>
          <w:rFonts w:ascii="PT Astra Serif" w:hAnsi="PT Astra Serif"/>
          <w:szCs w:val="28"/>
        </w:rPr>
        <w:t>Об утверждении Порядка согласования кандидатур для назначения на должность руководителя образовательных организаций муниципального образования «</w:t>
      </w:r>
      <w:proofErr w:type="spellStart"/>
      <w:r w:rsidR="00BE3A43" w:rsidRPr="00BE3A43">
        <w:rPr>
          <w:rFonts w:ascii="PT Astra Serif" w:hAnsi="PT Astra Serif"/>
          <w:szCs w:val="28"/>
        </w:rPr>
        <w:t>Карсунский</w:t>
      </w:r>
      <w:proofErr w:type="spellEnd"/>
      <w:r w:rsidR="00BE3A43" w:rsidRPr="00BE3A43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BE3A43" w:rsidRPr="00BE3A43">
        <w:rPr>
          <w:rFonts w:ascii="PT Astra Serif" w:hAnsi="PT Astra Serif"/>
          <w:szCs w:val="28"/>
        </w:rPr>
        <w:t>Об утверждении Порядка согласования кандидатур для назначения на должность руководителя образовательных организаций муниципального образования «</w:t>
      </w:r>
      <w:proofErr w:type="spellStart"/>
      <w:r w:rsidR="00BE3A43" w:rsidRPr="00BE3A43">
        <w:rPr>
          <w:rFonts w:ascii="PT Astra Serif" w:hAnsi="PT Astra Serif"/>
          <w:szCs w:val="28"/>
        </w:rPr>
        <w:t>Карсунский</w:t>
      </w:r>
      <w:proofErr w:type="spellEnd"/>
      <w:r w:rsidR="00BE3A43" w:rsidRPr="00BE3A43">
        <w:rPr>
          <w:rFonts w:ascii="PT Astra Serif" w:hAnsi="PT Astra Serif"/>
          <w:szCs w:val="28"/>
        </w:rPr>
        <w:t xml:space="preserve"> район» Ульяновской области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73145"/>
    <w:rsid w:val="002F7D28"/>
    <w:rsid w:val="005B6FFD"/>
    <w:rsid w:val="005E2782"/>
    <w:rsid w:val="0070055F"/>
    <w:rsid w:val="008816FF"/>
    <w:rsid w:val="009471E3"/>
    <w:rsid w:val="00BE3A43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8</cp:revision>
  <cp:lastPrinted>2024-02-29T11:06:00Z</cp:lastPrinted>
  <dcterms:created xsi:type="dcterms:W3CDTF">2023-02-10T06:06:00Z</dcterms:created>
  <dcterms:modified xsi:type="dcterms:W3CDTF">2024-02-29T11:06:00Z</dcterms:modified>
</cp:coreProperties>
</file>